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4" w:rsidRDefault="000379B4">
      <w:r>
        <w:rPr>
          <w:noProof/>
        </w:rPr>
        <w:drawing>
          <wp:anchor distT="0" distB="0" distL="114300" distR="114300" simplePos="0" relativeHeight="251659264" behindDoc="0" locked="0" layoutInCell="1" allowOverlap="1" wp14:anchorId="6718498E" wp14:editId="29CAA7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1195" cy="1076325"/>
            <wp:effectExtent l="0" t="0" r="1905" b="9525"/>
            <wp:wrapSquare wrapText="bothSides"/>
            <wp:docPr id="2" name="Picture 2" descr="EHS Logo (11x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HS Logo (11x17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C0B" w:rsidRDefault="00AA4C0B"/>
    <w:p w:rsidR="000379B4" w:rsidRDefault="005236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Alignment Procedures for Class 3b &amp; 4 Lasers</w:t>
      </w:r>
    </w:p>
    <w:p w:rsidR="00523670" w:rsidRDefault="00523670" w:rsidP="005236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Exclude unnecessary personnel from the laser area during alignment. </w:t>
      </w:r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Whenever possible, use low power visible lasers for path simulation of higher-power visible or invisible lasers. </w:t>
      </w:r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Wear laser protective eyewear during alignment. Use special alignment eyewear when circumstances (e.g. wavelength, power, etc.) permit their use. </w:t>
      </w:r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When aligning invisible (e.g. UV, IR) beams, use beam display devices such as image converter viewers or phosphor cards to locate beams. </w:t>
      </w:r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Perform alignment tasks using high-power lasers at the lowest possible power level. </w:t>
      </w:r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Use a shutter or beam block to block high power beams at their source except when actually needed during the alignment process. </w:t>
      </w:r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Use a laser rated beam block to terminate high –powered beams downstream of the optics being aligned. </w:t>
      </w:r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Use beam blocks and/or laser protective barriers in conditions where alignment beams could stray into areas with uninvolved personnel. </w:t>
      </w:r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Place beam blocks behind optics (e.g.: turning mirrors) to terminate beams that might miss mirrors during alignment. </w:t>
      </w:r>
      <w:bookmarkStart w:id="0" w:name="_GoBack"/>
      <w:bookmarkEnd w:id="0"/>
    </w:p>
    <w:p w:rsidR="00523670" w:rsidRPr="004C0C7C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Locate and block all stray reflections before proceeding to the next optical component or section. </w:t>
      </w:r>
    </w:p>
    <w:p w:rsidR="00523670" w:rsidRPr="00523670" w:rsidRDefault="00523670" w:rsidP="00523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23670">
        <w:rPr>
          <w:rFonts w:ascii="Times New Roman" w:hAnsi="Times New Roman" w:cs="Times New Roman"/>
          <w:color w:val="000000"/>
          <w:sz w:val="24"/>
          <w:szCs w:val="24"/>
        </w:rPr>
        <w:t xml:space="preserve">Be sure all beams and reflections are properly terminated </w:t>
      </w:r>
    </w:p>
    <w:p w:rsidR="000379B4" w:rsidRDefault="000379B4" w:rsidP="000379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9B4" w:rsidRDefault="000379B4" w:rsidP="000379B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Updated on 07/30/2014</w:t>
      </w:r>
    </w:p>
    <w:p w:rsidR="000379B4" w:rsidRPr="000379B4" w:rsidRDefault="000379B4" w:rsidP="000379B4">
      <w:pPr>
        <w:rPr>
          <w:rFonts w:ascii="Times New Roman" w:hAnsi="Times New Roman" w:cs="Times New Roman"/>
          <w:b/>
          <w:sz w:val="32"/>
          <w:szCs w:val="32"/>
        </w:rPr>
      </w:pPr>
    </w:p>
    <w:sectPr w:rsidR="000379B4" w:rsidRPr="0003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D103E5"/>
    <w:multiLevelType w:val="hybridMultilevel"/>
    <w:tmpl w:val="9C8C469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059B04"/>
    <w:multiLevelType w:val="hybridMultilevel"/>
    <w:tmpl w:val="E1E5C3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C3EF4D"/>
    <w:multiLevelType w:val="hybridMultilevel"/>
    <w:tmpl w:val="56E3CA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B2701C"/>
    <w:multiLevelType w:val="hybridMultilevel"/>
    <w:tmpl w:val="273EE7D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C0922B"/>
    <w:multiLevelType w:val="hybridMultilevel"/>
    <w:tmpl w:val="39FB1F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622923"/>
    <w:multiLevelType w:val="multilevel"/>
    <w:tmpl w:val="B67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8F561"/>
    <w:multiLevelType w:val="hybridMultilevel"/>
    <w:tmpl w:val="3E1181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C7E97F"/>
    <w:multiLevelType w:val="hybridMultilevel"/>
    <w:tmpl w:val="6D799B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17A478E"/>
    <w:multiLevelType w:val="hybridMultilevel"/>
    <w:tmpl w:val="CD6099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3D1E46E"/>
    <w:multiLevelType w:val="hybridMultilevel"/>
    <w:tmpl w:val="ABE52EC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C3A29C2"/>
    <w:multiLevelType w:val="hybridMultilevel"/>
    <w:tmpl w:val="0637FA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D16ECAB"/>
    <w:multiLevelType w:val="hybridMultilevel"/>
    <w:tmpl w:val="3001F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B4"/>
    <w:rsid w:val="000379B4"/>
    <w:rsid w:val="00096220"/>
    <w:rsid w:val="00190E91"/>
    <w:rsid w:val="004C0C7C"/>
    <w:rsid w:val="00523670"/>
    <w:rsid w:val="00A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6C71-603F-4FD3-B345-914F4A08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9B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3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523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Yuanqing Guo</dc:creator>
  <cp:keywords/>
  <dc:description/>
  <cp:lastModifiedBy>Yuanqing Guo</cp:lastModifiedBy>
  <cp:revision>4</cp:revision>
  <dcterms:created xsi:type="dcterms:W3CDTF">2014-07-30T18:02:00Z</dcterms:created>
  <dcterms:modified xsi:type="dcterms:W3CDTF">2014-07-30T18:06:00Z</dcterms:modified>
</cp:coreProperties>
</file>